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02D45D" w14:textId="77777777" w:rsidR="00CB0E1E" w:rsidRDefault="001B0C3B">
      <w:pPr>
        <w:spacing w:before="33" w:after="658" w:line="245" w:lineRule="exact"/>
        <w:ind w:left="72"/>
        <w:jc w:val="center"/>
        <w:textAlignment w:val="baseline"/>
        <w:rPr>
          <w:rFonts w:ascii="Calibri" w:eastAsia="Calibri" w:hAnsi="Calibri"/>
          <w:b/>
          <w:color w:val="000000"/>
          <w:sz w:val="24"/>
          <w:u w:val="single"/>
        </w:rPr>
      </w:pPr>
      <w:r>
        <w:rPr>
          <w:rFonts w:ascii="Calibri" w:eastAsia="Calibri" w:hAnsi="Calibri"/>
          <w:b/>
          <w:color w:val="000000"/>
          <w:sz w:val="24"/>
          <w:u w:val="single"/>
        </w:rPr>
        <w:t xml:space="preserve">Centre for Tissue Image Analytics – Constitution </w:t>
      </w:r>
    </w:p>
    <w:p w14:paraId="0999D81E" w14:textId="77777777" w:rsidR="00CB0E1E" w:rsidRDefault="001B0C3B">
      <w:pPr>
        <w:pBdr>
          <w:top w:val="single" w:sz="5" w:space="14" w:color="000000"/>
          <w:left w:val="single" w:sz="5" w:space="18" w:color="000000"/>
          <w:bottom w:val="single" w:sz="5" w:space="12" w:color="000000"/>
          <w:right w:val="single" w:sz="5" w:space="0" w:color="000000"/>
        </w:pBdr>
        <w:spacing w:line="248" w:lineRule="exact"/>
        <w:ind w:left="360"/>
        <w:textAlignment w:val="baseline"/>
        <w:rPr>
          <w:rFonts w:ascii="Calibri" w:eastAsia="Calibri" w:hAnsi="Calibri"/>
          <w:b/>
          <w:color w:val="000000"/>
          <w:spacing w:val="1"/>
          <w:sz w:val="23"/>
        </w:rPr>
      </w:pPr>
      <w:r>
        <w:rPr>
          <w:rFonts w:ascii="Calibri" w:eastAsia="Calibri" w:hAnsi="Calibri"/>
          <w:b/>
          <w:color w:val="000000"/>
          <w:spacing w:val="1"/>
          <w:sz w:val="23"/>
        </w:rPr>
        <w:t>1. Aims of the Centre</w:t>
      </w:r>
    </w:p>
    <w:p w14:paraId="6E04B2B0" w14:textId="4F4F798D" w:rsidR="00CB0E1E" w:rsidRDefault="001B0C3B">
      <w:pPr>
        <w:spacing w:before="245" w:line="269" w:lineRule="exact"/>
        <w:ind w:left="360" w:right="216" w:hanging="288"/>
        <w:jc w:val="both"/>
        <w:textAlignment w:val="baseline"/>
        <w:rPr>
          <w:rFonts w:ascii="Calibri" w:eastAsia="Calibri" w:hAnsi="Calibri"/>
          <w:color w:val="000000"/>
        </w:rPr>
      </w:pPr>
      <w:r>
        <w:rPr>
          <w:noProof/>
        </w:rPr>
        <mc:AlternateContent>
          <mc:Choice Requires="wps">
            <w:drawing>
              <wp:anchor distT="0" distB="0" distL="114300" distR="114300" simplePos="0" relativeHeight="251656192" behindDoc="0" locked="0" layoutInCell="1" allowOverlap="1" wp14:anchorId="7EF18B63" wp14:editId="3A0AE712">
                <wp:simplePos x="0" y="0"/>
                <wp:positionH relativeFrom="page">
                  <wp:posOffset>920750</wp:posOffset>
                </wp:positionH>
                <wp:positionV relativeFrom="page">
                  <wp:posOffset>2026920</wp:posOffset>
                </wp:positionV>
                <wp:extent cx="5715000" cy="0"/>
                <wp:effectExtent l="0" t="0" r="0" b="0"/>
                <wp:wrapNone/>
                <wp:docPr id="4"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889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EA9DE3" id="Line 5" o:spid="_x0000_s1026" style="position:absolute;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2.5pt,159.6pt" to="522.5pt,15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" strokeweight=".7pt">
                <w10:wrap anchorx="page" anchory="page"/>
              </v:line>
            </w:pict>
          </mc:Fallback>
        </mc:AlternateContent>
      </w:r>
      <w:r>
        <w:rPr>
          <w:noProof/>
        </w:rPr>
        <mc:AlternateContent>
          <mc:Choice Requires="wps">
            <w:drawing>
              <wp:anchor distT="0" distB="0" distL="114300" distR="114300" simplePos="0" relativeHeight="251657216" behindDoc="0" locked="0" layoutInCell="1" allowOverlap="1" wp14:anchorId="137D48CF" wp14:editId="610EBE97">
                <wp:simplePos x="0" y="0"/>
                <wp:positionH relativeFrom="page">
                  <wp:posOffset>920750</wp:posOffset>
                </wp:positionH>
                <wp:positionV relativeFrom="page">
                  <wp:posOffset>9715500</wp:posOffset>
                </wp:positionV>
                <wp:extent cx="5715000" cy="0"/>
                <wp:effectExtent l="0" t="0" r="0" b="0"/>
                <wp:wrapNone/>
                <wp:docPr id="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889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582239" id="Line 4" o:spid="_x0000_s1026" style="position:absolute;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2.5pt,765pt" to="522.5pt,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" strokeweight=".7pt">
                <w10:wrap anchorx="page" anchory="page"/>
              </v:line>
            </w:pict>
          </mc:Fallback>
        </mc:AlternateContent>
      </w:r>
      <w:r>
        <w:rPr>
          <w:noProof/>
        </w:rPr>
        <mc:AlternateContent>
          <mc:Choice Requires="wps">
            <w:drawing>
              <wp:anchor distT="0" distB="0" distL="114300" distR="114300" simplePos="0" relativeHeight="251658240" behindDoc="0" locked="0" layoutInCell="1" allowOverlap="1" wp14:anchorId="485ED9C8" wp14:editId="08897BA8">
                <wp:simplePos x="0" y="0"/>
                <wp:positionH relativeFrom="page">
                  <wp:posOffset>920750</wp:posOffset>
                </wp:positionH>
                <wp:positionV relativeFrom="page">
                  <wp:posOffset>2026920</wp:posOffset>
                </wp:positionV>
                <wp:extent cx="0" cy="7688580"/>
                <wp:effectExtent l="0" t="0" r="0" b="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688580"/>
                        </a:xfrm>
                        <a:prstGeom prst="line">
                          <a:avLst/>
                        </a:prstGeom>
                        <a:noFill/>
                        <a:ln w="889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AFA0FE" id="Line 3"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2.5pt,159.6pt" to="72.5pt,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" strokeweight=".7pt">
                <w10:wrap anchorx="page" anchory="page"/>
              </v:line>
            </w:pict>
          </mc:Fallback>
        </mc:AlternateContent>
      </w:r>
      <w:r>
        <w:rPr>
          <w:noProof/>
        </w:rPr>
        <mc:AlternateContent>
          <mc:Choice Requires="wps">
            <w:drawing>
              <wp:anchor distT="0" distB="0" distL="114300" distR="114300" simplePos="0" relativeHeight="251659264" behindDoc="0" locked="0" layoutInCell="1" allowOverlap="1" wp14:anchorId="79D5AA6A" wp14:editId="298CB10B">
                <wp:simplePos x="0" y="0"/>
                <wp:positionH relativeFrom="page">
                  <wp:posOffset>6635750</wp:posOffset>
                </wp:positionH>
                <wp:positionV relativeFrom="page">
                  <wp:posOffset>2026920</wp:posOffset>
                </wp:positionV>
                <wp:extent cx="0" cy="7688580"/>
                <wp:effectExtent l="0" t="0" r="0" b="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688580"/>
                        </a:xfrm>
                        <a:prstGeom prst="line">
                          <a:avLst/>
                        </a:prstGeom>
                        <a:noFill/>
                        <a:ln w="889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EA28AE" id="Line 2" o:spid="_x0000_s1026" style="position:absolute;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22.5pt,159.6pt" to="522.5pt,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" strokeweight=".7pt">
                <w10:wrap anchorx="page" anchory="page"/>
              </v:line>
            </w:pict>
          </mc:Fallback>
        </mc:AlternateContent>
      </w:r>
      <w:r>
        <w:rPr>
          <w:rFonts w:ascii="Calibri" w:eastAsia="Calibri" w:hAnsi="Calibri"/>
          <w:color w:val="000000"/>
        </w:rPr>
        <w:t>1. To establish an internationally recognised centre for Tissue Image Analytics, based on research excellence in the emerging area of computational pathology, in order to:</w:t>
      </w:r>
    </w:p>
    <w:p w14:paraId="45480831" w14:textId="77777777" w:rsidR="00CB0E1E" w:rsidRDefault="001B0C3B">
      <w:pPr>
        <w:numPr>
          <w:ilvl w:val="0"/>
          <w:numId w:val="1"/>
        </w:numPr>
        <w:tabs>
          <w:tab w:val="clear" w:pos="216"/>
          <w:tab w:val="left" w:pos="576"/>
        </w:tabs>
        <w:spacing w:before="268" w:line="269" w:lineRule="exact"/>
        <w:ind w:left="576" w:right="936" w:hanging="216"/>
        <w:textAlignment w:val="baseline"/>
        <w:rPr>
          <w:rFonts w:ascii="Calibri" w:eastAsia="Calibri" w:hAnsi="Calibri"/>
          <w:color w:val="000000"/>
        </w:rPr>
      </w:pPr>
      <w:r>
        <w:rPr>
          <w:rFonts w:ascii="Calibri" w:eastAsia="Calibri" w:hAnsi="Calibri"/>
          <w:color w:val="000000"/>
        </w:rPr>
        <w:t>Develop the presence and organisation to compete for large programme grants and doct</w:t>
      </w:r>
      <w:r>
        <w:rPr>
          <w:rFonts w:ascii="Calibri" w:eastAsia="Calibri" w:hAnsi="Calibri"/>
          <w:color w:val="000000"/>
        </w:rPr>
        <w:t>oral training centres in related areas;</w:t>
      </w:r>
    </w:p>
    <w:p w14:paraId="776F1C2F" w14:textId="77777777" w:rsidR="00CB0E1E" w:rsidRDefault="001B0C3B">
      <w:pPr>
        <w:numPr>
          <w:ilvl w:val="0"/>
          <w:numId w:val="1"/>
        </w:numPr>
        <w:tabs>
          <w:tab w:val="clear" w:pos="216"/>
          <w:tab w:val="left" w:pos="576"/>
        </w:tabs>
        <w:spacing w:line="269" w:lineRule="exact"/>
        <w:ind w:left="576" w:right="360" w:hanging="216"/>
        <w:textAlignment w:val="baseline"/>
        <w:rPr>
          <w:rFonts w:ascii="Calibri" w:eastAsia="Calibri" w:hAnsi="Calibri"/>
          <w:color w:val="000000"/>
        </w:rPr>
      </w:pPr>
      <w:r>
        <w:rPr>
          <w:rFonts w:ascii="Calibri" w:eastAsia="Calibri" w:hAnsi="Calibri"/>
          <w:color w:val="000000"/>
        </w:rPr>
        <w:t>Promote and support inter-disciplinary and cross-faculty research in the area of advanced computational pathology and related areas (as listed below);</w:t>
      </w:r>
    </w:p>
    <w:p w14:paraId="7C9935D9" w14:textId="77777777" w:rsidR="00CB0E1E" w:rsidRDefault="001B0C3B">
      <w:pPr>
        <w:numPr>
          <w:ilvl w:val="0"/>
          <w:numId w:val="1"/>
        </w:numPr>
        <w:tabs>
          <w:tab w:val="clear" w:pos="216"/>
          <w:tab w:val="left" w:pos="576"/>
        </w:tabs>
        <w:spacing w:line="266" w:lineRule="exact"/>
        <w:ind w:left="576" w:right="1008" w:hanging="216"/>
        <w:textAlignment w:val="baseline"/>
        <w:rPr>
          <w:rFonts w:ascii="Calibri" w:eastAsia="Calibri" w:hAnsi="Calibri"/>
          <w:color w:val="000000"/>
        </w:rPr>
      </w:pPr>
      <w:r>
        <w:rPr>
          <w:rFonts w:ascii="Calibri" w:eastAsia="Calibri" w:hAnsi="Calibri"/>
          <w:color w:val="000000"/>
        </w:rPr>
        <w:t xml:space="preserve">Promote and support research in allied areas, such as integrated </w:t>
      </w:r>
      <w:r>
        <w:rPr>
          <w:rFonts w:ascii="Calibri" w:eastAsia="Calibri" w:hAnsi="Calibri"/>
          <w:color w:val="000000"/>
        </w:rPr>
        <w:t>genomics, spatial transcriptomics, fused diagnostics and precision medicine;</w:t>
      </w:r>
    </w:p>
    <w:p w14:paraId="1CB3D2ED" w14:textId="77777777" w:rsidR="00CB0E1E" w:rsidRDefault="001B0C3B">
      <w:pPr>
        <w:numPr>
          <w:ilvl w:val="0"/>
          <w:numId w:val="1"/>
        </w:numPr>
        <w:tabs>
          <w:tab w:val="clear" w:pos="216"/>
          <w:tab w:val="left" w:pos="576"/>
        </w:tabs>
        <w:spacing w:line="268" w:lineRule="exact"/>
        <w:ind w:left="576" w:right="1224" w:hanging="216"/>
        <w:textAlignment w:val="baseline"/>
        <w:rPr>
          <w:rFonts w:ascii="Calibri" w:eastAsia="Calibri" w:hAnsi="Calibri"/>
          <w:color w:val="000000"/>
        </w:rPr>
      </w:pPr>
      <w:r>
        <w:rPr>
          <w:rFonts w:ascii="Calibri" w:eastAsia="Calibri" w:hAnsi="Calibri"/>
          <w:color w:val="000000"/>
        </w:rPr>
        <w:t>Develop closer links with top international research institutes and work towards developing an international network for collaborative research;</w:t>
      </w:r>
    </w:p>
    <w:p w14:paraId="39AF82C6" w14:textId="77777777" w:rsidR="00CB0E1E" w:rsidRDefault="001B0C3B">
      <w:pPr>
        <w:numPr>
          <w:ilvl w:val="0"/>
          <w:numId w:val="1"/>
        </w:numPr>
        <w:tabs>
          <w:tab w:val="clear" w:pos="216"/>
          <w:tab w:val="left" w:pos="576"/>
        </w:tabs>
        <w:spacing w:line="268" w:lineRule="exact"/>
        <w:ind w:left="576" w:right="504" w:hanging="216"/>
        <w:textAlignment w:val="baseline"/>
        <w:rPr>
          <w:rFonts w:ascii="Calibri" w:eastAsia="Calibri" w:hAnsi="Calibri"/>
          <w:color w:val="000000"/>
        </w:rPr>
      </w:pPr>
      <w:r>
        <w:rPr>
          <w:rFonts w:ascii="Calibri" w:eastAsia="Calibri" w:hAnsi="Calibri"/>
          <w:color w:val="000000"/>
        </w:rPr>
        <w:t>Develop into an international centre of excellence for academia, NHS trusts and industry alike.</w:t>
      </w:r>
    </w:p>
    <w:p w14:paraId="1D38B402" w14:textId="77777777" w:rsidR="00CB0E1E" w:rsidRDefault="001B0C3B">
      <w:pPr>
        <w:spacing w:before="313" w:line="224" w:lineRule="exact"/>
        <w:ind w:left="72"/>
        <w:textAlignment w:val="baseline"/>
        <w:rPr>
          <w:rFonts w:ascii="Calibri" w:eastAsia="Calibri" w:hAnsi="Calibri"/>
          <w:color w:val="000000"/>
        </w:rPr>
      </w:pPr>
      <w:r>
        <w:rPr>
          <w:rFonts w:ascii="Calibri" w:eastAsia="Calibri" w:hAnsi="Calibri"/>
          <w:color w:val="000000"/>
        </w:rPr>
        <w:t>2. Conduct worl</w:t>
      </w:r>
      <w:r>
        <w:rPr>
          <w:rFonts w:ascii="Calibri" w:eastAsia="Calibri" w:hAnsi="Calibri"/>
          <w:color w:val="000000"/>
        </w:rPr>
        <w:t>d-class research in:</w:t>
      </w:r>
    </w:p>
    <w:p w14:paraId="235E6E8B" w14:textId="77777777" w:rsidR="00CB0E1E" w:rsidRDefault="001B0C3B">
      <w:pPr>
        <w:numPr>
          <w:ilvl w:val="0"/>
          <w:numId w:val="2"/>
        </w:numPr>
        <w:tabs>
          <w:tab w:val="clear" w:pos="216"/>
          <w:tab w:val="left" w:pos="576"/>
        </w:tabs>
        <w:spacing w:before="314" w:line="226" w:lineRule="exact"/>
        <w:ind w:left="576" w:hanging="216"/>
        <w:textAlignment w:val="baseline"/>
        <w:rPr>
          <w:rFonts w:ascii="Calibri" w:eastAsia="Calibri" w:hAnsi="Calibri"/>
          <w:color w:val="000000"/>
        </w:rPr>
      </w:pPr>
      <w:r>
        <w:rPr>
          <w:rFonts w:ascii="Calibri" w:eastAsia="Calibri" w:hAnsi="Calibri"/>
          <w:color w:val="000000"/>
        </w:rPr>
        <w:t>Petascale computational pathology;</w:t>
      </w:r>
    </w:p>
    <w:p w14:paraId="78C39EB6" w14:textId="77777777" w:rsidR="00CB0E1E" w:rsidRDefault="001B0C3B">
      <w:pPr>
        <w:numPr>
          <w:ilvl w:val="0"/>
          <w:numId w:val="2"/>
        </w:numPr>
        <w:tabs>
          <w:tab w:val="clear" w:pos="216"/>
          <w:tab w:val="left" w:pos="576"/>
        </w:tabs>
        <w:spacing w:before="43" w:line="226" w:lineRule="exact"/>
        <w:ind w:left="576" w:hanging="216"/>
        <w:textAlignment w:val="baseline"/>
        <w:rPr>
          <w:rFonts w:ascii="Calibri" w:eastAsia="Calibri" w:hAnsi="Calibri"/>
          <w:color w:val="000000"/>
        </w:rPr>
      </w:pPr>
      <w:r>
        <w:rPr>
          <w:rFonts w:ascii="Calibri" w:eastAsia="Calibri" w:hAnsi="Calibri"/>
          <w:color w:val="000000"/>
        </w:rPr>
        <w:t>AI algorithms and predictive analytics for precision diagnostics and prognostics;</w:t>
      </w:r>
    </w:p>
    <w:p w14:paraId="03ACB29E" w14:textId="77777777" w:rsidR="00CB0E1E" w:rsidRDefault="001B0C3B">
      <w:pPr>
        <w:numPr>
          <w:ilvl w:val="0"/>
          <w:numId w:val="2"/>
        </w:numPr>
        <w:tabs>
          <w:tab w:val="clear" w:pos="216"/>
          <w:tab w:val="left" w:pos="576"/>
        </w:tabs>
        <w:spacing w:before="42" w:line="227" w:lineRule="exact"/>
        <w:ind w:left="576" w:hanging="216"/>
        <w:textAlignment w:val="baseline"/>
        <w:rPr>
          <w:rFonts w:ascii="Calibri" w:eastAsia="Calibri" w:hAnsi="Calibri"/>
          <w:color w:val="000000"/>
        </w:rPr>
      </w:pPr>
      <w:r>
        <w:rPr>
          <w:rFonts w:ascii="Calibri" w:eastAsia="Calibri" w:hAnsi="Calibri"/>
          <w:color w:val="000000"/>
        </w:rPr>
        <w:t>Development of computational tools for pathologists in collaboration with the industry;</w:t>
      </w:r>
    </w:p>
    <w:p w14:paraId="134D0CAD" w14:textId="77777777" w:rsidR="00CB0E1E" w:rsidRDefault="001B0C3B">
      <w:pPr>
        <w:numPr>
          <w:ilvl w:val="0"/>
          <w:numId w:val="2"/>
        </w:numPr>
        <w:tabs>
          <w:tab w:val="clear" w:pos="216"/>
          <w:tab w:val="left" w:pos="576"/>
        </w:tabs>
        <w:spacing w:before="311" w:line="226" w:lineRule="exact"/>
        <w:ind w:left="576" w:hanging="216"/>
        <w:textAlignment w:val="baseline"/>
        <w:rPr>
          <w:rFonts w:ascii="Calibri" w:eastAsia="Calibri" w:hAnsi="Calibri"/>
          <w:color w:val="000000"/>
        </w:rPr>
      </w:pPr>
      <w:r>
        <w:rPr>
          <w:rFonts w:ascii="Calibri" w:eastAsia="Calibri" w:hAnsi="Calibri"/>
          <w:color w:val="000000"/>
        </w:rPr>
        <w:t>Discovery of novel tissue base</w:t>
      </w:r>
      <w:r>
        <w:rPr>
          <w:rFonts w:ascii="Calibri" w:eastAsia="Calibri" w:hAnsi="Calibri"/>
          <w:color w:val="000000"/>
        </w:rPr>
        <w:t>d imaging and molecular biomarkers;</w:t>
      </w:r>
    </w:p>
    <w:p w14:paraId="0DEC01F2" w14:textId="77777777" w:rsidR="00CB0E1E" w:rsidRDefault="001B0C3B">
      <w:pPr>
        <w:numPr>
          <w:ilvl w:val="0"/>
          <w:numId w:val="2"/>
        </w:numPr>
        <w:tabs>
          <w:tab w:val="clear" w:pos="216"/>
          <w:tab w:val="left" w:pos="576"/>
        </w:tabs>
        <w:spacing w:before="43" w:line="226" w:lineRule="exact"/>
        <w:ind w:left="576" w:hanging="216"/>
        <w:textAlignment w:val="baseline"/>
        <w:rPr>
          <w:rFonts w:ascii="Calibri" w:eastAsia="Calibri" w:hAnsi="Calibri"/>
          <w:color w:val="000000"/>
        </w:rPr>
      </w:pPr>
      <w:r>
        <w:rPr>
          <w:rFonts w:ascii="Calibri" w:eastAsia="Calibri" w:hAnsi="Calibri"/>
          <w:color w:val="000000"/>
        </w:rPr>
        <w:t>Better understanding of disease (especially cancer) pathology and progression;</w:t>
      </w:r>
    </w:p>
    <w:p w14:paraId="32136420" w14:textId="77777777" w:rsidR="00CB0E1E" w:rsidRDefault="001B0C3B">
      <w:pPr>
        <w:numPr>
          <w:ilvl w:val="0"/>
          <w:numId w:val="2"/>
        </w:numPr>
        <w:tabs>
          <w:tab w:val="clear" w:pos="216"/>
          <w:tab w:val="left" w:pos="576"/>
        </w:tabs>
        <w:spacing w:line="267" w:lineRule="exact"/>
        <w:ind w:left="576" w:right="720" w:hanging="216"/>
        <w:textAlignment w:val="baseline"/>
        <w:rPr>
          <w:rFonts w:ascii="Calibri" w:eastAsia="Calibri" w:hAnsi="Calibri"/>
          <w:color w:val="000000"/>
        </w:rPr>
      </w:pPr>
      <w:r>
        <w:rPr>
          <w:rFonts w:ascii="Calibri" w:eastAsia="Calibri" w:hAnsi="Calibri"/>
          <w:color w:val="000000"/>
        </w:rPr>
        <w:t>Large-scale data management for digital pathology images, molecular data and linked clinical metadata;</w:t>
      </w:r>
    </w:p>
    <w:p w14:paraId="2CF4F6D8" w14:textId="77777777" w:rsidR="00CB0E1E" w:rsidRDefault="001B0C3B">
      <w:pPr>
        <w:numPr>
          <w:ilvl w:val="0"/>
          <w:numId w:val="2"/>
        </w:numPr>
        <w:tabs>
          <w:tab w:val="clear" w:pos="216"/>
          <w:tab w:val="left" w:pos="576"/>
        </w:tabs>
        <w:spacing w:before="45" w:line="226" w:lineRule="exact"/>
        <w:ind w:left="576" w:hanging="216"/>
        <w:textAlignment w:val="baseline"/>
        <w:rPr>
          <w:rFonts w:ascii="Calibri" w:eastAsia="Calibri" w:hAnsi="Calibri"/>
          <w:color w:val="000000"/>
        </w:rPr>
      </w:pPr>
      <w:r>
        <w:rPr>
          <w:rFonts w:ascii="Calibri" w:eastAsia="Calibri" w:hAnsi="Calibri"/>
          <w:color w:val="000000"/>
        </w:rPr>
        <w:t>Development of computational methods for clinical decision support systems;</w:t>
      </w:r>
    </w:p>
    <w:p w14:paraId="4CAE806E" w14:textId="77777777" w:rsidR="00CB0E1E" w:rsidRDefault="001B0C3B">
      <w:pPr>
        <w:numPr>
          <w:ilvl w:val="0"/>
          <w:numId w:val="2"/>
        </w:numPr>
        <w:tabs>
          <w:tab w:val="clear" w:pos="216"/>
          <w:tab w:val="left" w:pos="576"/>
        </w:tabs>
        <w:spacing w:before="43" w:line="226" w:lineRule="exact"/>
        <w:ind w:left="576" w:hanging="216"/>
        <w:textAlignment w:val="baseline"/>
        <w:rPr>
          <w:rFonts w:ascii="Calibri" w:eastAsia="Calibri" w:hAnsi="Calibri"/>
          <w:color w:val="000000"/>
        </w:rPr>
      </w:pPr>
      <w:r>
        <w:rPr>
          <w:rFonts w:ascii="Calibri" w:eastAsia="Calibri" w:hAnsi="Calibri"/>
          <w:color w:val="000000"/>
        </w:rPr>
        <w:t>Health economic impact of AI algorithms on the NHS patient care pathways;</w:t>
      </w:r>
    </w:p>
    <w:p w14:paraId="5D81CC22" w14:textId="77777777" w:rsidR="00CB0E1E" w:rsidRDefault="001B0C3B">
      <w:pPr>
        <w:numPr>
          <w:ilvl w:val="0"/>
          <w:numId w:val="2"/>
        </w:numPr>
        <w:tabs>
          <w:tab w:val="clear" w:pos="216"/>
          <w:tab w:val="left" w:pos="576"/>
        </w:tabs>
        <w:spacing w:before="38" w:line="226" w:lineRule="exact"/>
        <w:ind w:left="576" w:hanging="216"/>
        <w:textAlignment w:val="baseline"/>
        <w:rPr>
          <w:rFonts w:ascii="Calibri" w:eastAsia="Calibri" w:hAnsi="Calibri"/>
          <w:color w:val="000000"/>
        </w:rPr>
      </w:pPr>
      <w:r>
        <w:rPr>
          <w:rFonts w:ascii="Calibri" w:eastAsia="Calibri" w:hAnsi="Calibri"/>
          <w:color w:val="000000"/>
        </w:rPr>
        <w:t>Eth</w:t>
      </w:r>
      <w:r>
        <w:rPr>
          <w:rFonts w:ascii="Calibri" w:eastAsia="Calibri" w:hAnsi="Calibri"/>
          <w:color w:val="000000"/>
        </w:rPr>
        <w:t>ical implications of AI tools in clinical practice.</w:t>
      </w:r>
    </w:p>
    <w:p w14:paraId="57811BD4" w14:textId="77777777" w:rsidR="00CB0E1E" w:rsidRDefault="001B0C3B">
      <w:pPr>
        <w:spacing w:before="312" w:line="226" w:lineRule="exact"/>
        <w:ind w:left="72"/>
        <w:textAlignment w:val="baseline"/>
        <w:rPr>
          <w:rFonts w:ascii="Calibri" w:eastAsia="Calibri" w:hAnsi="Calibri"/>
          <w:color w:val="000000"/>
        </w:rPr>
      </w:pPr>
      <w:r>
        <w:rPr>
          <w:rFonts w:ascii="Calibri" w:eastAsia="Calibri" w:hAnsi="Calibri"/>
          <w:color w:val="000000"/>
        </w:rPr>
        <w:t>3. Work towards making societal and wide-ranging impact in the following ways:</w:t>
      </w:r>
    </w:p>
    <w:p w14:paraId="0F1567F0" w14:textId="77777777" w:rsidR="00CB0E1E" w:rsidRDefault="001B0C3B">
      <w:pPr>
        <w:numPr>
          <w:ilvl w:val="0"/>
          <w:numId w:val="3"/>
        </w:numPr>
        <w:tabs>
          <w:tab w:val="clear" w:pos="216"/>
          <w:tab w:val="left" w:pos="576"/>
        </w:tabs>
        <w:spacing w:before="268" w:line="269" w:lineRule="exact"/>
        <w:ind w:left="576" w:right="720" w:hanging="216"/>
        <w:textAlignment w:val="baseline"/>
        <w:rPr>
          <w:rFonts w:ascii="Calibri" w:eastAsia="Calibri" w:hAnsi="Calibri"/>
          <w:color w:val="000000"/>
        </w:rPr>
      </w:pPr>
      <w:r>
        <w:rPr>
          <w:rFonts w:ascii="Calibri" w:eastAsia="Calibri" w:hAnsi="Calibri"/>
          <w:color w:val="000000"/>
        </w:rPr>
        <w:t xml:space="preserve">Positive impact on the provision of improved healthcare for patients, especially those suffering from or suspected of having </w:t>
      </w:r>
      <w:r>
        <w:rPr>
          <w:rFonts w:ascii="Calibri" w:eastAsia="Calibri" w:hAnsi="Calibri"/>
          <w:color w:val="000000"/>
        </w:rPr>
        <w:t>cancer;</w:t>
      </w:r>
    </w:p>
    <w:p w14:paraId="43412673" w14:textId="77777777" w:rsidR="00CB0E1E" w:rsidRDefault="001B0C3B">
      <w:pPr>
        <w:numPr>
          <w:ilvl w:val="0"/>
          <w:numId w:val="3"/>
        </w:numPr>
        <w:tabs>
          <w:tab w:val="clear" w:pos="216"/>
          <w:tab w:val="left" w:pos="576"/>
        </w:tabs>
        <w:spacing w:before="43" w:line="226" w:lineRule="exact"/>
        <w:ind w:left="576" w:hanging="216"/>
        <w:textAlignment w:val="baseline"/>
        <w:rPr>
          <w:rFonts w:ascii="Calibri" w:eastAsia="Calibri" w:hAnsi="Calibri"/>
          <w:color w:val="000000"/>
        </w:rPr>
      </w:pPr>
      <w:r>
        <w:rPr>
          <w:rFonts w:ascii="Calibri" w:eastAsia="Calibri" w:hAnsi="Calibri"/>
          <w:color w:val="000000"/>
        </w:rPr>
        <w:t>Economic impact by commercialising cutting-edge algorithms;</w:t>
      </w:r>
    </w:p>
    <w:p w14:paraId="356CCF76" w14:textId="77777777" w:rsidR="00CB0E1E" w:rsidRDefault="001B0C3B">
      <w:pPr>
        <w:numPr>
          <w:ilvl w:val="0"/>
          <w:numId w:val="3"/>
        </w:numPr>
        <w:tabs>
          <w:tab w:val="clear" w:pos="216"/>
          <w:tab w:val="left" w:pos="576"/>
        </w:tabs>
        <w:spacing w:line="268" w:lineRule="exact"/>
        <w:ind w:left="576" w:right="576" w:hanging="216"/>
        <w:textAlignment w:val="baseline"/>
        <w:rPr>
          <w:rFonts w:ascii="Calibri" w:eastAsia="Calibri" w:hAnsi="Calibri"/>
          <w:color w:val="000000"/>
        </w:rPr>
      </w:pPr>
      <w:r>
        <w:rPr>
          <w:rFonts w:ascii="Calibri" w:eastAsia="Calibri" w:hAnsi="Calibri"/>
          <w:color w:val="000000"/>
        </w:rPr>
        <w:t>To increase Warwick’s global outreach by equipping young researches from around the world to acquire specialised expertise and impart the expertise and knowledge for educational, healthcare and economic impact in their respective countries;</w:t>
      </w:r>
    </w:p>
    <w:p w14:paraId="2A5FB8DC" w14:textId="77777777" w:rsidR="00CB0E1E" w:rsidRDefault="001B0C3B">
      <w:pPr>
        <w:numPr>
          <w:ilvl w:val="0"/>
          <w:numId w:val="3"/>
        </w:numPr>
        <w:tabs>
          <w:tab w:val="clear" w:pos="216"/>
          <w:tab w:val="left" w:pos="576"/>
        </w:tabs>
        <w:spacing w:line="268" w:lineRule="exact"/>
        <w:ind w:left="576" w:right="216" w:hanging="216"/>
        <w:textAlignment w:val="baseline"/>
        <w:rPr>
          <w:rFonts w:ascii="Calibri" w:eastAsia="Calibri" w:hAnsi="Calibri"/>
          <w:color w:val="000000"/>
        </w:rPr>
      </w:pPr>
      <w:r>
        <w:rPr>
          <w:rFonts w:ascii="Calibri" w:eastAsia="Calibri" w:hAnsi="Calibri"/>
          <w:color w:val="000000"/>
        </w:rPr>
        <w:t>To disseminate lessons learned during our research and translation to develop clinical tools to a wider audience at the national level.</w:t>
      </w:r>
    </w:p>
    <w:p w14:paraId="3543A557" w14:textId="77777777" w:rsidR="00CB0E1E" w:rsidRDefault="00CB0E1E">
      <w:pPr>
        <w:sectPr w:rsidR="00CB0E1E">
          <w:pgSz w:w="11904" w:h="16843"/>
          <w:pgMar w:top="1440" w:right="1454" w:bottom="1147" w:left="1450" w:header="720" w:footer="720" w:gutter="0"/>
          <w:cols w:space="720"/>
        </w:sectPr>
      </w:pPr>
    </w:p>
    <w:tbl>
      <w:tblPr>
        <w:tblW w:w="0" w:type="auto"/>
        <w:tblInd w:w="45" w:type="dxa"/>
        <w:tblLayout w:type="fixed"/>
        <w:tblCellMar>
          <w:left w:w="0" w:type="dxa"/>
          <w:right w:w="0" w:type="dxa"/>
        </w:tblCellMar>
        <w:tblLook w:val="0000" w:firstRow="0" w:lastRow="0" w:firstColumn="0" w:lastColumn="0" w:noHBand="0" w:noVBand="0"/>
      </w:tblPr>
      <w:tblGrid>
        <w:gridCol w:w="8909"/>
      </w:tblGrid>
      <w:tr w:rsidR="00CB0E1E" w14:paraId="298C666F" w14:textId="77777777">
        <w:tblPrEx>
          <w:tblCellMar>
            <w:top w:w="0" w:type="dxa"/>
            <w:bottom w:w="0" w:type="dxa"/>
          </w:tblCellMar>
        </w:tblPrEx>
        <w:trPr>
          <w:trHeight w:hRule="exact" w:val="821"/>
        </w:trPr>
        <w:tc>
          <w:tcPr>
            <w:tcW w:w="8909" w:type="dxa"/>
            <w:tcBorders>
              <w:top w:val="single" w:sz="5" w:space="0" w:color="000000"/>
              <w:left w:val="single" w:sz="5" w:space="0" w:color="000000"/>
              <w:bottom w:val="single" w:sz="5" w:space="0" w:color="000000"/>
              <w:right w:val="single" w:sz="5" w:space="0" w:color="000000"/>
            </w:tcBorders>
            <w:shd w:val="clear" w:color="BDD6EE" w:fill="BDD6EE"/>
            <w:vAlign w:val="center"/>
          </w:tcPr>
          <w:p w14:paraId="7F2AD723" w14:textId="77777777" w:rsidR="00CB0E1E" w:rsidRDefault="001B0C3B">
            <w:pPr>
              <w:numPr>
                <w:ilvl w:val="0"/>
                <w:numId w:val="4"/>
              </w:numPr>
              <w:tabs>
                <w:tab w:val="clear" w:pos="360"/>
                <w:tab w:val="left" w:pos="864"/>
              </w:tabs>
              <w:spacing w:before="308" w:after="282" w:line="230" w:lineRule="exact"/>
              <w:ind w:left="504"/>
              <w:textAlignment w:val="baseline"/>
              <w:rPr>
                <w:rFonts w:ascii="Calibri" w:eastAsia="Calibri" w:hAnsi="Calibri"/>
                <w:b/>
                <w:color w:val="000000"/>
                <w:sz w:val="23"/>
              </w:rPr>
            </w:pPr>
            <w:r>
              <w:rPr>
                <w:rFonts w:ascii="Calibri" w:eastAsia="Calibri" w:hAnsi="Calibri"/>
                <w:b/>
                <w:color w:val="000000"/>
                <w:sz w:val="23"/>
              </w:rPr>
              <w:lastRenderedPageBreak/>
              <w:t>Membership:</w:t>
            </w:r>
          </w:p>
        </w:tc>
      </w:tr>
      <w:tr w:rsidR="00CB0E1E" w14:paraId="187C6395" w14:textId="77777777">
        <w:tblPrEx>
          <w:tblCellMar>
            <w:top w:w="0" w:type="dxa"/>
            <w:bottom w:w="0" w:type="dxa"/>
          </w:tblCellMar>
        </w:tblPrEx>
        <w:trPr>
          <w:trHeight w:hRule="exact" w:val="3859"/>
        </w:trPr>
        <w:tc>
          <w:tcPr>
            <w:tcW w:w="8909" w:type="dxa"/>
            <w:tcBorders>
              <w:top w:val="single" w:sz="5" w:space="0" w:color="000000"/>
              <w:left w:val="single" w:sz="5" w:space="0" w:color="000000"/>
              <w:bottom w:val="single" w:sz="5" w:space="0" w:color="000000"/>
              <w:right w:val="single" w:sz="5" w:space="0" w:color="000000"/>
            </w:tcBorders>
          </w:tcPr>
          <w:p w14:paraId="0A426899" w14:textId="77777777" w:rsidR="00CB0E1E" w:rsidRDefault="001B0C3B">
            <w:pPr>
              <w:spacing w:before="364" w:line="274" w:lineRule="exact"/>
              <w:ind w:left="144" w:right="108"/>
              <w:jc w:val="both"/>
              <w:textAlignment w:val="baseline"/>
              <w:rPr>
                <w:rFonts w:ascii="Calibri" w:eastAsia="Calibri" w:hAnsi="Calibri"/>
                <w:color w:val="000000"/>
                <w:spacing w:val="-2"/>
              </w:rPr>
            </w:pPr>
            <w:r>
              <w:rPr>
                <w:rFonts w:ascii="Calibri" w:eastAsia="Calibri" w:hAnsi="Calibri"/>
                <w:color w:val="000000"/>
                <w:spacing w:val="-2"/>
              </w:rPr>
              <w:t>Members of the Centre shall consist of academic and research staff, visiting and associate fell</w:t>
            </w:r>
            <w:r>
              <w:rPr>
                <w:rFonts w:ascii="Calibri" w:eastAsia="Calibri" w:hAnsi="Calibri"/>
                <w:color w:val="000000"/>
                <w:spacing w:val="-2"/>
              </w:rPr>
              <w:t>ows of the University who have research interests in aspects computational pathology and AI.</w:t>
            </w:r>
          </w:p>
          <w:p w14:paraId="30B378DE" w14:textId="77777777" w:rsidR="00CB0E1E" w:rsidRDefault="001B0C3B">
            <w:pPr>
              <w:spacing w:before="281" w:line="268" w:lineRule="exact"/>
              <w:ind w:left="144" w:right="108"/>
              <w:jc w:val="both"/>
              <w:textAlignment w:val="baseline"/>
              <w:rPr>
                <w:rFonts w:ascii="Calibri" w:eastAsia="Calibri" w:hAnsi="Calibri"/>
                <w:color w:val="000000"/>
              </w:rPr>
            </w:pPr>
            <w:r>
              <w:rPr>
                <w:rFonts w:ascii="Calibri" w:eastAsia="Calibri" w:hAnsi="Calibri"/>
                <w:color w:val="000000"/>
              </w:rPr>
              <w:t>Individuals who wish to be a member of the Centre should approach the Director who will seek confirmation from the Management Committee that their membership will enhance the Centre; requests to become members will not normally be refused.</w:t>
            </w:r>
          </w:p>
          <w:p w14:paraId="7030BAD5" w14:textId="77777777" w:rsidR="00CB0E1E" w:rsidRDefault="001B0C3B">
            <w:pPr>
              <w:spacing w:before="237" w:after="549" w:line="269" w:lineRule="exact"/>
              <w:ind w:left="144" w:right="108"/>
              <w:jc w:val="both"/>
              <w:textAlignment w:val="baseline"/>
              <w:rPr>
                <w:rFonts w:ascii="Calibri" w:eastAsia="Calibri" w:hAnsi="Calibri"/>
                <w:color w:val="000000"/>
              </w:rPr>
            </w:pPr>
            <w:r>
              <w:rPr>
                <w:rFonts w:ascii="Calibri" w:eastAsia="Calibri" w:hAnsi="Calibri"/>
                <w:color w:val="000000"/>
              </w:rPr>
              <w:t>Academic and res</w:t>
            </w:r>
            <w:r>
              <w:rPr>
                <w:rFonts w:ascii="Calibri" w:eastAsia="Calibri" w:hAnsi="Calibri"/>
                <w:color w:val="000000"/>
              </w:rPr>
              <w:t>earch staff in other universities, governmental research agencies, appropriate industrial partners and NHS organisations may be nominated for associate membership by the Director to the Management Committee. Associate membership will be granted if there is</w:t>
            </w:r>
            <w:r>
              <w:rPr>
                <w:rFonts w:ascii="Calibri" w:eastAsia="Calibri" w:hAnsi="Calibri"/>
                <w:color w:val="000000"/>
              </w:rPr>
              <w:t xml:space="preserve"> a demonstrable benefit to the Centre.</w:t>
            </w:r>
          </w:p>
        </w:tc>
      </w:tr>
      <w:tr w:rsidR="00CB0E1E" w14:paraId="1A039FCE" w14:textId="77777777">
        <w:tblPrEx>
          <w:tblCellMar>
            <w:top w:w="0" w:type="dxa"/>
            <w:bottom w:w="0" w:type="dxa"/>
          </w:tblCellMar>
        </w:tblPrEx>
        <w:trPr>
          <w:trHeight w:hRule="exact" w:val="816"/>
        </w:trPr>
        <w:tc>
          <w:tcPr>
            <w:tcW w:w="8909" w:type="dxa"/>
            <w:tcBorders>
              <w:top w:val="single" w:sz="5" w:space="0" w:color="000000"/>
              <w:left w:val="single" w:sz="5" w:space="0" w:color="000000"/>
              <w:bottom w:val="single" w:sz="5" w:space="0" w:color="000000"/>
              <w:right w:val="single" w:sz="5" w:space="0" w:color="000000"/>
            </w:tcBorders>
            <w:shd w:val="clear" w:color="BDD6EE" w:fill="BDD6EE"/>
            <w:vAlign w:val="center"/>
          </w:tcPr>
          <w:p w14:paraId="77051BAC" w14:textId="77777777" w:rsidR="00CB0E1E" w:rsidRDefault="001B0C3B">
            <w:pPr>
              <w:numPr>
                <w:ilvl w:val="0"/>
                <w:numId w:val="4"/>
              </w:numPr>
              <w:tabs>
                <w:tab w:val="clear" w:pos="360"/>
                <w:tab w:val="left" w:pos="864"/>
                <w:tab w:val="right" w:pos="8712"/>
              </w:tabs>
              <w:spacing w:before="304" w:after="273" w:line="229" w:lineRule="exact"/>
              <w:ind w:left="504"/>
              <w:textAlignment w:val="baseline"/>
              <w:rPr>
                <w:rFonts w:ascii="Calibri" w:eastAsia="Calibri" w:hAnsi="Calibri"/>
                <w:b/>
                <w:color w:val="000000"/>
                <w:spacing w:val="-4"/>
                <w:sz w:val="23"/>
              </w:rPr>
            </w:pPr>
            <w:r>
              <w:rPr>
                <w:rFonts w:ascii="Calibri" w:eastAsia="Calibri" w:hAnsi="Calibri"/>
                <w:b/>
                <w:color w:val="000000"/>
                <w:spacing w:val="-4"/>
                <w:sz w:val="23"/>
              </w:rPr>
              <w:t>Directorship (including procedure for appointment, length of appointment, reporting):</w:t>
            </w:r>
          </w:p>
        </w:tc>
      </w:tr>
      <w:tr w:rsidR="00CB0E1E" w14:paraId="5F0BC731" w14:textId="77777777">
        <w:tblPrEx>
          <w:tblCellMar>
            <w:top w:w="0" w:type="dxa"/>
            <w:bottom w:w="0" w:type="dxa"/>
          </w:tblCellMar>
        </w:tblPrEx>
        <w:trPr>
          <w:trHeight w:hRule="exact" w:val="2160"/>
        </w:trPr>
        <w:tc>
          <w:tcPr>
            <w:tcW w:w="8909" w:type="dxa"/>
            <w:tcBorders>
              <w:top w:val="single" w:sz="5" w:space="0" w:color="000000"/>
              <w:left w:val="single" w:sz="5" w:space="0" w:color="000000"/>
              <w:bottom w:val="single" w:sz="5" w:space="0" w:color="000000"/>
              <w:right w:val="single" w:sz="5" w:space="0" w:color="000000"/>
            </w:tcBorders>
            <w:vAlign w:val="center"/>
          </w:tcPr>
          <w:p w14:paraId="1816614E" w14:textId="77777777" w:rsidR="00CB0E1E" w:rsidRDefault="001B0C3B">
            <w:pPr>
              <w:spacing w:before="266" w:line="268" w:lineRule="exact"/>
              <w:ind w:left="144" w:right="180"/>
              <w:textAlignment w:val="baseline"/>
              <w:rPr>
                <w:rFonts w:ascii="Calibri" w:eastAsia="Calibri" w:hAnsi="Calibri"/>
                <w:color w:val="000000"/>
              </w:rPr>
            </w:pPr>
            <w:r>
              <w:rPr>
                <w:rFonts w:ascii="Calibri" w:eastAsia="Calibri" w:hAnsi="Calibri"/>
                <w:color w:val="000000"/>
              </w:rPr>
              <w:t>There shall be a Director who shall be appointed by the Board of the Faculty of Science, initially for a period of five years, the appointment being renewable. The Director shall be responsible to the Head of Department for the planning, direction and exec</w:t>
            </w:r>
            <w:r>
              <w:rPr>
                <w:rFonts w:ascii="Calibri" w:eastAsia="Calibri" w:hAnsi="Calibri"/>
                <w:color w:val="000000"/>
              </w:rPr>
              <w:t>ution of the Centre's affairs.</w:t>
            </w:r>
          </w:p>
          <w:p w14:paraId="2D9F9B0B" w14:textId="77777777" w:rsidR="00CB0E1E" w:rsidRDefault="001B0C3B">
            <w:pPr>
              <w:spacing w:before="267" w:after="275" w:line="269" w:lineRule="exact"/>
              <w:ind w:left="144" w:right="972"/>
              <w:textAlignment w:val="baseline"/>
              <w:rPr>
                <w:rFonts w:ascii="Calibri" w:eastAsia="Calibri" w:hAnsi="Calibri"/>
                <w:color w:val="000000"/>
              </w:rPr>
            </w:pPr>
            <w:r>
              <w:rPr>
                <w:rFonts w:ascii="Calibri" w:eastAsia="Calibri" w:hAnsi="Calibri"/>
                <w:color w:val="000000"/>
              </w:rPr>
              <w:t>Subsequent appointments of the Director will be for five years, the appointments being renewable.</w:t>
            </w:r>
          </w:p>
        </w:tc>
      </w:tr>
      <w:tr w:rsidR="00CB0E1E" w14:paraId="3D69C00D" w14:textId="77777777">
        <w:tblPrEx>
          <w:tblCellMar>
            <w:top w:w="0" w:type="dxa"/>
            <w:bottom w:w="0" w:type="dxa"/>
          </w:tblCellMar>
        </w:tblPrEx>
        <w:trPr>
          <w:trHeight w:hRule="exact" w:val="816"/>
        </w:trPr>
        <w:tc>
          <w:tcPr>
            <w:tcW w:w="8909" w:type="dxa"/>
            <w:tcBorders>
              <w:top w:val="single" w:sz="5" w:space="0" w:color="000000"/>
              <w:left w:val="single" w:sz="5" w:space="0" w:color="000000"/>
              <w:bottom w:val="single" w:sz="5" w:space="0" w:color="000000"/>
              <w:right w:val="single" w:sz="5" w:space="0" w:color="000000"/>
            </w:tcBorders>
            <w:shd w:val="clear" w:color="BDD6EE" w:fill="BDD6EE"/>
            <w:vAlign w:val="center"/>
          </w:tcPr>
          <w:p w14:paraId="61E5869B" w14:textId="77777777" w:rsidR="00CB0E1E" w:rsidRDefault="001B0C3B">
            <w:pPr>
              <w:numPr>
                <w:ilvl w:val="0"/>
                <w:numId w:val="4"/>
              </w:numPr>
              <w:tabs>
                <w:tab w:val="clear" w:pos="360"/>
                <w:tab w:val="left" w:pos="864"/>
              </w:tabs>
              <w:spacing w:before="304" w:after="278" w:line="229" w:lineRule="exact"/>
              <w:ind w:left="504"/>
              <w:textAlignment w:val="baseline"/>
              <w:rPr>
                <w:rFonts w:ascii="Calibri" w:eastAsia="Calibri" w:hAnsi="Calibri"/>
                <w:b/>
                <w:color w:val="000000"/>
                <w:sz w:val="23"/>
              </w:rPr>
            </w:pPr>
            <w:r>
              <w:rPr>
                <w:rFonts w:ascii="Calibri" w:eastAsia="Calibri" w:hAnsi="Calibri"/>
                <w:b/>
                <w:color w:val="000000"/>
                <w:sz w:val="23"/>
              </w:rPr>
              <w:t>Financial Responsibility</w:t>
            </w:r>
          </w:p>
        </w:tc>
      </w:tr>
      <w:tr w:rsidR="00CB0E1E" w14:paraId="2ADA75C6" w14:textId="77777777">
        <w:tblPrEx>
          <w:tblCellMar>
            <w:top w:w="0" w:type="dxa"/>
            <w:bottom w:w="0" w:type="dxa"/>
          </w:tblCellMar>
        </w:tblPrEx>
        <w:trPr>
          <w:trHeight w:hRule="exact" w:val="1094"/>
        </w:trPr>
        <w:tc>
          <w:tcPr>
            <w:tcW w:w="8909" w:type="dxa"/>
            <w:tcBorders>
              <w:top w:val="single" w:sz="5" w:space="0" w:color="000000"/>
              <w:left w:val="single" w:sz="5" w:space="0" w:color="000000"/>
              <w:bottom w:val="single" w:sz="5" w:space="0" w:color="000000"/>
              <w:right w:val="single" w:sz="5" w:space="0" w:color="000000"/>
            </w:tcBorders>
            <w:vAlign w:val="center"/>
          </w:tcPr>
          <w:p w14:paraId="1CF9811A" w14:textId="77777777" w:rsidR="00CB0E1E" w:rsidRDefault="001B0C3B">
            <w:pPr>
              <w:spacing w:before="263" w:after="290" w:line="268" w:lineRule="exact"/>
              <w:ind w:left="144" w:right="360"/>
              <w:textAlignment w:val="baseline"/>
              <w:rPr>
                <w:rFonts w:ascii="Calibri" w:eastAsia="Calibri" w:hAnsi="Calibri"/>
                <w:color w:val="000000"/>
              </w:rPr>
            </w:pPr>
            <w:r>
              <w:rPr>
                <w:rFonts w:ascii="Calibri" w:eastAsia="Calibri" w:hAnsi="Calibri"/>
                <w:color w:val="000000"/>
              </w:rPr>
              <w:t>The Department of Computer Science will have the responsibility for the financial operation of the Centre.</w:t>
            </w:r>
          </w:p>
        </w:tc>
      </w:tr>
    </w:tbl>
    <w:p w14:paraId="19E4F0AB" w14:textId="77777777" w:rsidR="00000000" w:rsidRDefault="001B0C3B"/>
    <w:sectPr w:rsidR="00000000">
      <w:pgSz w:w="11904" w:h="16843"/>
      <w:pgMar w:top="1420" w:right="1509" w:bottom="5407" w:left="1395"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auto"/>
    <w:pitch w:val="variable"/>
    <w:sig w:usb0="00000001" w:usb1="08080000" w:usb2="00000010" w:usb3="00000000" w:csb0="00100000" w:csb1="00000000"/>
  </w:font>
  <w:font w:name="Calibri Light">
    <w:panose1 w:val="020F0302020204030204"/>
    <w:charset w:val="00"/>
    <w:family w:val="swiss"/>
    <w:pitch w:val="variable"/>
    <w:sig w:usb0="E4002EFF" w:usb1="C0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Calibri">
    <w:charset w:val="00"/>
    <w:pitch w:val="variable"/>
    <w:family w:val="swiss"/>
    <w:panose1 w:val="02020603050405020304"/>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664A12"/>
    <w:multiLevelType w:val="multilevel"/>
    <w:tmpl w:val="9BCEAFE0"/>
    <w:lvl w:ilvl="0">
      <w:start w:val="1"/>
      <w:numFmt w:val="lowerLetter"/>
      <w:lvlText w:val="%1."/>
      <w:lvlJc w:val="left"/>
      <w:pPr>
        <w:tabs>
          <w:tab w:val="left" w:pos="216"/>
        </w:tabs>
      </w:pPr>
      <w:rPr>
        <w:rFonts w:ascii="Calibri" w:eastAsia="Calibri" w:hAnsi="Calibri"/>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5B620B6D"/>
    <w:multiLevelType w:val="multilevel"/>
    <w:tmpl w:val="1C8EE17E"/>
    <w:lvl w:ilvl="0">
      <w:start w:val="2"/>
      <w:numFmt w:val="decimal"/>
      <w:lvlText w:val="%1."/>
      <w:lvlJc w:val="left"/>
      <w:pPr>
        <w:tabs>
          <w:tab w:val="left" w:pos="360"/>
        </w:tabs>
      </w:pPr>
      <w:rPr>
        <w:rFonts w:ascii="Calibri" w:eastAsia="Calibri" w:hAnsi="Calibri"/>
        <w:b/>
        <w:color w:val="000000"/>
        <w:spacing w:val="0"/>
        <w:w w:val="100"/>
        <w:sz w:val="23"/>
        <w:shd w:val="solid" w:color="BDD6EE" w:fill="BDD6EE"/>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641F47DE"/>
    <w:multiLevelType w:val="multilevel"/>
    <w:tmpl w:val="A6A69BF0"/>
    <w:lvl w:ilvl="0">
      <w:start w:val="1"/>
      <w:numFmt w:val="lowerLetter"/>
      <w:lvlText w:val="%1."/>
      <w:lvlJc w:val="left"/>
      <w:pPr>
        <w:tabs>
          <w:tab w:val="left" w:pos="216"/>
        </w:tabs>
      </w:pPr>
      <w:rPr>
        <w:rFonts w:ascii="Calibri" w:eastAsia="Calibri" w:hAnsi="Calibri"/>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7C5934B4"/>
    <w:multiLevelType w:val="multilevel"/>
    <w:tmpl w:val="35347DDE"/>
    <w:lvl w:ilvl="0">
      <w:start w:val="1"/>
      <w:numFmt w:val="lowerLetter"/>
      <w:lvlText w:val="%1."/>
      <w:lvlJc w:val="left"/>
      <w:pPr>
        <w:tabs>
          <w:tab w:val="left" w:pos="216"/>
        </w:tabs>
      </w:pPr>
      <w:rPr>
        <w:rFonts w:ascii="Calibri" w:eastAsia="Calibri" w:hAnsi="Calibri"/>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0E1E"/>
    <w:rsid w:val="001B0C3B"/>
    <w:rsid w:val="00CB0E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7AB8F465"/>
  <w15:docId w15:val="{646CFB87-E20A-4B8D-A611-1561545FE0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fId" Type="http://schemas.openxmlformats.org/wordprocessingml/2006/fontTable" Target="fontTable0.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538</Words>
  <Characters>3073</Characters>
  <Application>Microsoft Office Word</Application>
  <DocSecurity>0</DocSecurity>
  <Lines>25</Lines>
  <Paragraphs>7</Paragraphs>
  <ScaleCrop>false</ScaleCrop>
  <Company/>
  <LinksUpToDate>false</LinksUpToDate>
  <CharactersWithSpaces>3604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Harris, Carole</dc:creator>
  <cp:lastModifiedBy>Harris, Carole</cp:lastModifiedBy>
  <cp:revision>2</cp:revision>
  <dcterms:created xsi:type="dcterms:W3CDTF">2021-06-25T14:04:00Z</dcterms:created>
  <dcterms:modified xsi:type="dcterms:W3CDTF">2021-06-25T14:04:00Z</dcterms:modified>
</cp:coreProperties>
</file>